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AF6" w:rsidRPr="00C75FC5" w:rsidRDefault="00307AF6" w:rsidP="00A82E67">
      <w:pPr>
        <w:pStyle w:val="CRCoverPage"/>
        <w:tabs>
          <w:tab w:val="right" w:pos="10467"/>
        </w:tabs>
        <w:spacing w:after="0"/>
        <w:rPr>
          <w:rFonts w:cs="Arial"/>
          <w:b/>
          <w:sz w:val="24"/>
          <w:szCs w:val="24"/>
          <w:lang w:val="en-US"/>
        </w:rPr>
      </w:pPr>
      <w:bookmarkStart w:id="0" w:name="_Ref399006623"/>
      <w:bookmarkStart w:id="1" w:name="_Toc92513360"/>
      <w:r>
        <w:rPr>
          <w:rFonts w:cs="Arial"/>
          <w:b/>
          <w:sz w:val="24"/>
          <w:szCs w:val="24"/>
        </w:rPr>
        <w:t>3GPP TSG-RAN Meeting #</w:t>
      </w:r>
      <w:r w:rsidR="00A82E67">
        <w:rPr>
          <w:rFonts w:cs="Arial"/>
          <w:b/>
          <w:sz w:val="24"/>
          <w:szCs w:val="24"/>
        </w:rPr>
        <w:t>88</w:t>
      </w:r>
      <w:r>
        <w:rPr>
          <w:rFonts w:cs="Arial"/>
          <w:b/>
          <w:sz w:val="24"/>
          <w:szCs w:val="24"/>
        </w:rPr>
        <w:t>e</w:t>
      </w:r>
      <w:r>
        <w:rPr>
          <w:rFonts w:cs="Arial"/>
          <w:b/>
          <w:sz w:val="24"/>
          <w:szCs w:val="24"/>
        </w:rPr>
        <w:tab/>
      </w:r>
      <w:r w:rsidR="00A82E67">
        <w:rPr>
          <w:rFonts w:cs="Arial"/>
          <w:b/>
          <w:sz w:val="24"/>
          <w:szCs w:val="24"/>
        </w:rPr>
        <w:t xml:space="preserve">          RP-20</w:t>
      </w:r>
      <w:r w:rsidR="00D90DD5">
        <w:rPr>
          <w:rFonts w:cs="Arial"/>
          <w:b/>
          <w:sz w:val="24"/>
          <w:szCs w:val="24"/>
        </w:rPr>
        <w:t>0940</w:t>
      </w:r>
      <w:bookmarkStart w:id="2" w:name="_GoBack"/>
      <w:bookmarkEnd w:id="2"/>
    </w:p>
    <w:p w:rsidR="00307AF6" w:rsidRPr="0012251E" w:rsidRDefault="00A82E67" w:rsidP="00307AF6">
      <w:pPr>
        <w:pStyle w:val="CRCoverPage"/>
        <w:tabs>
          <w:tab w:val="right" w:pos="9639"/>
        </w:tabs>
        <w:spacing w:after="100" w:afterAutospacing="1"/>
        <w:rPr>
          <w:rFonts w:cs="Arial"/>
          <w:b/>
          <w:sz w:val="24"/>
          <w:szCs w:val="24"/>
        </w:rPr>
      </w:pPr>
      <w:r w:rsidRPr="00A82E67">
        <w:rPr>
          <w:rFonts w:cs="Arial"/>
          <w:b/>
          <w:sz w:val="24"/>
          <w:szCs w:val="24"/>
        </w:rPr>
        <w:t>Electronic Meeting, June 29 - July 3,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A82E67">
        <w:rPr>
          <w:rFonts w:ascii="Arial" w:hAnsi="Arial" w:cs="Arial"/>
          <w:sz w:val="22"/>
        </w:rPr>
        <w:t>9.1.2</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w:t>
      </w:r>
      <w:r w:rsidR="0002737C">
        <w:rPr>
          <w:rFonts w:ascii="Arial" w:hAnsi="Arial" w:cs="Arial"/>
          <w:sz w:val="22"/>
          <w:lang w:val="en-US" w:eastAsia="ja-JP"/>
        </w:rPr>
        <w:t>T</w:t>
      </w:r>
      <w:r w:rsidR="0007667E" w:rsidRPr="00E8044B">
        <w:rPr>
          <w:rFonts w:ascii="Arial" w:hAnsi="Arial" w:cs="Arial"/>
          <w:sz w:val="22"/>
          <w:lang w:val="en-US" w:eastAsia="ja-JP"/>
        </w:rPr>
        <w:t>ek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72D1C">
        <w:rPr>
          <w:rFonts w:ascii="Arial" w:hAnsi="Arial" w:cs="Arial"/>
          <w:sz w:val="22"/>
        </w:rPr>
        <w:t>On adding n</w:t>
      </w:r>
      <w:r w:rsidR="001D6714" w:rsidRPr="001D6714">
        <w:rPr>
          <w:rFonts w:ascii="Arial" w:eastAsia="SimSun" w:hAnsi="Arial" w:cs="Arial"/>
          <w:sz w:val="22"/>
          <w:lang w:eastAsia="zh-CN"/>
        </w:rPr>
        <w:t>ew channel bandwidth for existing band</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D90DD5">
        <w:rPr>
          <w:rFonts w:ascii="Arial" w:eastAsia="SimSun" w:hAnsi="Arial" w:cs="Arial"/>
          <w:sz w:val="22"/>
          <w:lang w:eastAsia="zh-CN"/>
        </w:rPr>
        <w:t>Decision</w:t>
      </w:r>
    </w:p>
    <w:bookmarkEnd w:id="0"/>
    <w:bookmarkEnd w:id="1"/>
    <w:p w:rsidR="00FC0076" w:rsidRPr="00E10934" w:rsidRDefault="00A00B26" w:rsidP="007C5299">
      <w:pPr>
        <w:pStyle w:val="Heading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0242C5" w:rsidP="00806D71">
      <w:pPr>
        <w:suppressAutoHyphens/>
        <w:spacing w:after="120" w:line="300" w:lineRule="atLeast"/>
        <w:jc w:val="both"/>
        <w:rPr>
          <w:lang w:eastAsia="ja-JP"/>
        </w:rPr>
      </w:pPr>
      <w:r>
        <w:rPr>
          <w:lang w:eastAsia="ja-JP"/>
        </w:rPr>
        <w:t xml:space="preserve">New </w:t>
      </w:r>
      <w:r w:rsidR="00CA15F2">
        <w:rPr>
          <w:lang w:eastAsia="ja-JP"/>
        </w:rPr>
        <w:t>channel bandwidth</w:t>
      </w:r>
      <w:r>
        <w:rPr>
          <w:lang w:eastAsia="ja-JP"/>
        </w:rPr>
        <w:t xml:space="preserve"> has been discussed in several meetings. It is common understanding that the discussion will continue in Rel-17. The contribution provide our view on </w:t>
      </w:r>
      <w:r w:rsidR="00CA15F2">
        <w:rPr>
          <w:lang w:eastAsia="ja-JP"/>
        </w:rPr>
        <w:t xml:space="preserve">adding brand </w:t>
      </w:r>
      <w:r>
        <w:rPr>
          <w:lang w:eastAsia="ja-JP"/>
        </w:rPr>
        <w:t>new CBW.</w:t>
      </w:r>
    </w:p>
    <w:p w:rsidR="00B119C1" w:rsidRPr="00475A35" w:rsidRDefault="00C36B43" w:rsidP="00B119C1">
      <w:pPr>
        <w:pStyle w:val="Heading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CB39C7" w:rsidRDefault="00551613" w:rsidP="00A02C39">
      <w:pPr>
        <w:tabs>
          <w:tab w:val="left" w:pos="7210"/>
        </w:tabs>
        <w:spacing w:after="0"/>
        <w:jc w:val="both"/>
        <w:rPr>
          <w:lang w:eastAsia="ja-JP"/>
        </w:rPr>
      </w:pPr>
      <w:r>
        <w:rPr>
          <w:lang w:eastAsia="ja-JP"/>
        </w:rPr>
        <w:t>With the developing of NR specs, the request of channel bandwidth also varies with spectrum utilization requirements. From [1</w:t>
      </w:r>
      <w:proofErr w:type="gramStart"/>
      <w:r>
        <w:rPr>
          <w:lang w:eastAsia="ja-JP"/>
        </w:rPr>
        <w:t>][</w:t>
      </w:r>
      <w:proofErr w:type="gramEnd"/>
      <w:r>
        <w:rPr>
          <w:lang w:eastAsia="ja-JP"/>
        </w:rPr>
        <w:t>2][3] we can see there are various spectrum including regular CBW (multiple of 5MHz) and irregular</w:t>
      </w:r>
      <w:r w:rsidR="00653FEF">
        <w:rPr>
          <w:lang w:eastAsia="ja-JP"/>
        </w:rPr>
        <w:t xml:space="preserve"> (</w:t>
      </w:r>
      <w:r w:rsidR="00653FEF" w:rsidRPr="00653FEF">
        <w:rPr>
          <w:lang w:eastAsia="ja-JP"/>
        </w:rPr>
        <w:t xml:space="preserve">not multiples of 5 MHz) </w:t>
      </w:r>
      <w:r>
        <w:rPr>
          <w:lang w:eastAsia="ja-JP"/>
        </w:rPr>
        <w:t>CBW</w:t>
      </w:r>
      <w:r w:rsidR="00F6312A">
        <w:rPr>
          <w:lang w:eastAsia="ja-JP"/>
        </w:rPr>
        <w:t xml:space="preserve">. The handling of new channel bandwidths has been discussed from meeting to meeting. Different approach has been raised in previous meetings. </w:t>
      </w:r>
    </w:p>
    <w:p w:rsidR="00F6312A" w:rsidRDefault="00D90DD5" w:rsidP="00A02C39">
      <w:pPr>
        <w:tabs>
          <w:tab w:val="left" w:pos="7210"/>
        </w:tabs>
        <w:spacing w:before="240" w:after="0"/>
        <w:jc w:val="both"/>
        <w:rPr>
          <w:lang w:eastAsia="ja-JP"/>
        </w:rPr>
      </w:pPr>
      <w:r>
        <w:rPr>
          <w:lang w:eastAsia="ja-JP"/>
        </w:rPr>
        <w:t>A first</w:t>
      </w:r>
      <w:r w:rsidR="00F6312A">
        <w:rPr>
          <w:lang w:eastAsia="ja-JP"/>
        </w:rPr>
        <w:t xml:space="preserve"> way is to introduce new </w:t>
      </w:r>
      <w:r>
        <w:rPr>
          <w:lang w:eastAsia="ja-JP"/>
        </w:rPr>
        <w:t xml:space="preserve">(“irregular”) </w:t>
      </w:r>
      <w:r w:rsidR="00F6312A">
        <w:rPr>
          <w:lang w:eastAsia="ja-JP"/>
        </w:rPr>
        <w:t>channel bandwidth</w:t>
      </w:r>
      <w:r>
        <w:rPr>
          <w:lang w:eastAsia="ja-JP"/>
        </w:rPr>
        <w:t>s</w:t>
      </w:r>
      <w:r w:rsidR="00F6312A">
        <w:rPr>
          <w:lang w:eastAsia="ja-JP"/>
        </w:rPr>
        <w:t xml:space="preserve"> in UE. However this will require extensive work in terms of specifications requirements, conformance testing time</w:t>
      </w:r>
      <w:r w:rsidR="00CB39C7">
        <w:rPr>
          <w:lang w:eastAsia="ja-JP"/>
        </w:rPr>
        <w:t xml:space="preserve">, as well as UE design complexity, power consumption and cost. In [3] </w:t>
      </w:r>
      <w:r>
        <w:rPr>
          <w:lang w:eastAsia="ja-JP"/>
        </w:rPr>
        <w:t>the</w:t>
      </w:r>
      <w:r w:rsidR="00CB39C7">
        <w:rPr>
          <w:lang w:eastAsia="ja-JP"/>
        </w:rPr>
        <w:t xml:space="preserve"> list </w:t>
      </w:r>
      <w:r>
        <w:rPr>
          <w:lang w:eastAsia="ja-JP"/>
        </w:rPr>
        <w:t xml:space="preserve">of </w:t>
      </w:r>
      <w:r w:rsidR="00CB39C7">
        <w:rPr>
          <w:lang w:eastAsia="ja-JP"/>
        </w:rPr>
        <w:t xml:space="preserve">potential new channel bandwidths </w:t>
      </w:r>
      <w:r>
        <w:rPr>
          <w:lang w:eastAsia="ja-JP"/>
        </w:rPr>
        <w:t xml:space="preserve">is large and raises concern from UE implementation complexity. </w:t>
      </w:r>
    </w:p>
    <w:p w:rsidR="008168B5" w:rsidRPr="008168B5" w:rsidRDefault="008168B5" w:rsidP="00A02C39">
      <w:pPr>
        <w:tabs>
          <w:tab w:val="left" w:pos="7210"/>
        </w:tabs>
        <w:spacing w:before="240" w:after="0"/>
        <w:jc w:val="both"/>
        <w:rPr>
          <w:b/>
          <w:lang w:eastAsia="ja-JP"/>
        </w:rPr>
      </w:pPr>
      <w:r>
        <w:rPr>
          <w:b/>
          <w:lang w:eastAsia="ja-JP"/>
        </w:rPr>
        <w:t xml:space="preserve">Observation 1: It is desirable for UE to introduce </w:t>
      </w:r>
      <w:r w:rsidR="00D90DD5">
        <w:rPr>
          <w:b/>
          <w:lang w:eastAsia="ja-JP"/>
        </w:rPr>
        <w:t xml:space="preserve">a </w:t>
      </w:r>
      <w:r>
        <w:rPr>
          <w:b/>
          <w:lang w:eastAsia="ja-JP"/>
        </w:rPr>
        <w:t>limited number of new channel bandwidth</w:t>
      </w:r>
      <w:r w:rsidR="00D90DD5">
        <w:rPr>
          <w:b/>
          <w:lang w:eastAsia="ja-JP"/>
        </w:rPr>
        <w:t>s</w:t>
      </w:r>
      <w:r>
        <w:rPr>
          <w:b/>
          <w:lang w:eastAsia="ja-JP"/>
        </w:rPr>
        <w:t xml:space="preserve"> to achieve balance between design complexity, cost and time</w:t>
      </w:r>
      <w:r w:rsidR="00D90DD5">
        <w:rPr>
          <w:b/>
          <w:lang w:eastAsia="ja-JP"/>
        </w:rPr>
        <w:t>-to-</w:t>
      </w:r>
      <w:r>
        <w:rPr>
          <w:b/>
          <w:lang w:eastAsia="ja-JP"/>
        </w:rPr>
        <w:t>market.</w:t>
      </w:r>
    </w:p>
    <w:p w:rsidR="00CB39C7" w:rsidRDefault="00D90DD5" w:rsidP="00A02C39">
      <w:pPr>
        <w:tabs>
          <w:tab w:val="left" w:pos="7210"/>
        </w:tabs>
        <w:spacing w:before="240" w:after="0"/>
        <w:jc w:val="both"/>
        <w:rPr>
          <w:lang w:eastAsia="ja-JP"/>
        </w:rPr>
      </w:pPr>
      <w:r>
        <w:rPr>
          <w:lang w:eastAsia="ja-JP"/>
        </w:rPr>
        <w:t>A second</w:t>
      </w:r>
      <w:r w:rsidR="00CB39C7">
        <w:rPr>
          <w:lang w:eastAsia="ja-JP"/>
        </w:rPr>
        <w:t xml:space="preserve"> way is to introduce regular new channel bandwidth in multiple of 5MHz. The benefit is the maximum </w:t>
      </w:r>
      <w:r w:rsidR="00C82149">
        <w:rPr>
          <w:lang w:eastAsia="ja-JP"/>
        </w:rPr>
        <w:t>set</w:t>
      </w:r>
      <w:r w:rsidR="00CB39C7">
        <w:rPr>
          <w:lang w:eastAsia="ja-JP"/>
        </w:rPr>
        <w:t xml:space="preserve"> of new channel bandwidth</w:t>
      </w:r>
      <w:r>
        <w:rPr>
          <w:lang w:eastAsia="ja-JP"/>
        </w:rPr>
        <w:t>s</w:t>
      </w:r>
      <w:r w:rsidR="00CB39C7">
        <w:rPr>
          <w:lang w:eastAsia="ja-JP"/>
        </w:rPr>
        <w:t xml:space="preserve"> is controllable. However such new channel bandwidth can be implemented by carrier aggregation of different existing channel bandwidth. For example, a 55MHz CBW can be implemented with 15+40, 25+30…etc. with a little bit lower spectrum utilization than applying a single 35MHz CBW carrier.</w:t>
      </w:r>
      <w:r w:rsidR="00A02C39">
        <w:rPr>
          <w:lang w:eastAsia="ja-JP"/>
        </w:rPr>
        <w:t xml:space="preserve"> </w:t>
      </w:r>
      <w:r w:rsidR="00C82149">
        <w:rPr>
          <w:lang w:eastAsia="ja-JP"/>
        </w:rPr>
        <w:t>There may be minimum ecosystem impact and time to market for the new UE</w:t>
      </w:r>
      <w:r w:rsidR="008168B5">
        <w:rPr>
          <w:lang w:eastAsia="ja-JP"/>
        </w:rPr>
        <w:t xml:space="preserve"> delivering</w:t>
      </w:r>
      <w:r w:rsidR="00C82149">
        <w:rPr>
          <w:lang w:eastAsia="ja-JP"/>
        </w:rPr>
        <w:t>.</w:t>
      </w:r>
    </w:p>
    <w:p w:rsidR="008168B5" w:rsidRDefault="008168B5" w:rsidP="00A02C39">
      <w:pPr>
        <w:tabs>
          <w:tab w:val="left" w:pos="7210"/>
        </w:tabs>
        <w:spacing w:before="240" w:after="0"/>
        <w:jc w:val="both"/>
        <w:rPr>
          <w:lang w:eastAsia="ja-JP"/>
        </w:rPr>
      </w:pPr>
      <w:r>
        <w:rPr>
          <w:lang w:eastAsia="ja-JP"/>
        </w:rPr>
        <w:t xml:space="preserve">As for irregular new channel bandwidth requirements, our preference is to define it only in the </w:t>
      </w:r>
      <w:proofErr w:type="spellStart"/>
      <w:r>
        <w:rPr>
          <w:lang w:eastAsia="ja-JP"/>
        </w:rPr>
        <w:t>gNB</w:t>
      </w:r>
      <w:proofErr w:type="spellEnd"/>
      <w:r>
        <w:rPr>
          <w:lang w:eastAsia="ja-JP"/>
        </w:rPr>
        <w:t xml:space="preserve"> specifications as overlapping CA concept stated in [3]. For new CBW smaller than 5MHz, </w:t>
      </w:r>
      <w:r w:rsidR="001C68A1">
        <w:rPr>
          <w:lang w:eastAsia="ja-JP"/>
        </w:rPr>
        <w:t>this can be implemented with BWP adaptation</w:t>
      </w:r>
      <w:r w:rsidR="001C68A1" w:rsidRPr="001C68A1">
        <w:rPr>
          <w:lang w:eastAsia="ja-JP"/>
        </w:rPr>
        <w:t xml:space="preserve">, operators can setup any BW they want to the UE from </w:t>
      </w:r>
      <w:proofErr w:type="spellStart"/>
      <w:r w:rsidR="001C68A1" w:rsidRPr="001C68A1">
        <w:rPr>
          <w:lang w:eastAsia="ja-JP"/>
        </w:rPr>
        <w:t>PointA</w:t>
      </w:r>
      <w:proofErr w:type="spellEnd"/>
      <w:r w:rsidR="001C68A1" w:rsidRPr="001C68A1">
        <w:rPr>
          <w:lang w:eastAsia="ja-JP"/>
        </w:rPr>
        <w:t xml:space="preserve"> reference to the frequency domain. Then all L1 channels (PDCCH, PDSCH, SSB, etc</w:t>
      </w:r>
      <w:proofErr w:type="gramStart"/>
      <w:r w:rsidR="001C68A1" w:rsidRPr="001C68A1">
        <w:rPr>
          <w:lang w:eastAsia="ja-JP"/>
        </w:rPr>
        <w:t>..)</w:t>
      </w:r>
      <w:proofErr w:type="gramEnd"/>
      <w:r w:rsidR="001C68A1" w:rsidRPr="001C68A1">
        <w:rPr>
          <w:lang w:eastAsia="ja-JP"/>
        </w:rPr>
        <w:t xml:space="preserve"> </w:t>
      </w:r>
      <w:r w:rsidR="009C6A67">
        <w:rPr>
          <w:lang w:eastAsia="ja-JP"/>
        </w:rPr>
        <w:t>can follow such BWP allocation. Furthermore, if irregular new CBW is smaller than 5MHz, the throughput benefit of such bandwidth is not obvious comparing with that of LTE.</w:t>
      </w:r>
    </w:p>
    <w:p w:rsidR="001C68A1" w:rsidRDefault="001C68A1" w:rsidP="00A02C39">
      <w:pPr>
        <w:tabs>
          <w:tab w:val="left" w:pos="7210"/>
        </w:tabs>
        <w:spacing w:before="240" w:after="0"/>
        <w:jc w:val="both"/>
        <w:rPr>
          <w:b/>
          <w:lang w:eastAsia="ja-JP"/>
        </w:rPr>
      </w:pPr>
      <w:r>
        <w:rPr>
          <w:b/>
          <w:lang w:eastAsia="ja-JP"/>
        </w:rPr>
        <w:t xml:space="preserve">Observation 2: If irregular new CBW is only defined in </w:t>
      </w:r>
      <w:proofErr w:type="spellStart"/>
      <w:r>
        <w:rPr>
          <w:b/>
          <w:lang w:eastAsia="ja-JP"/>
        </w:rPr>
        <w:t>gNB</w:t>
      </w:r>
      <w:proofErr w:type="spellEnd"/>
      <w:r>
        <w:rPr>
          <w:b/>
          <w:lang w:eastAsia="ja-JP"/>
        </w:rPr>
        <w:t xml:space="preserve"> specifications, BWP can be used for this.</w:t>
      </w:r>
      <w:r w:rsidR="009C6A67">
        <w:rPr>
          <w:b/>
          <w:lang w:eastAsia="ja-JP"/>
        </w:rPr>
        <w:t xml:space="preserve"> New CBW smaller than 5MHz has limited benefit </w:t>
      </w:r>
      <w:r w:rsidR="00D90DD5">
        <w:rPr>
          <w:b/>
          <w:lang w:eastAsia="ja-JP"/>
        </w:rPr>
        <w:t>compared to</w:t>
      </w:r>
      <w:r w:rsidR="009C6A67">
        <w:rPr>
          <w:b/>
          <w:lang w:eastAsia="ja-JP"/>
        </w:rPr>
        <w:t xml:space="preserve"> LTE thus it is not necessary to introduce them.</w:t>
      </w:r>
    </w:p>
    <w:p w:rsidR="00A76D65" w:rsidRDefault="00A76D65" w:rsidP="004F61E8">
      <w:pPr>
        <w:pBdr>
          <w:bottom w:val="single" w:sz="6" w:space="1" w:color="auto"/>
        </w:pBdr>
        <w:spacing w:after="0"/>
        <w:jc w:val="both"/>
        <w:rPr>
          <w:lang w:eastAsia="ja-JP"/>
        </w:rPr>
      </w:pPr>
    </w:p>
    <w:p w:rsidR="00E2028A" w:rsidRPr="00E2028A" w:rsidRDefault="00E2028A" w:rsidP="004F61E8">
      <w:pPr>
        <w:spacing w:after="0"/>
        <w:jc w:val="both"/>
        <w:rPr>
          <w:rFonts w:ascii="Arial" w:hAnsi="Arial" w:cs="Arial"/>
          <w:sz w:val="40"/>
          <w:szCs w:val="40"/>
          <w:lang w:eastAsia="ja-JP"/>
        </w:rPr>
      </w:pPr>
      <w:r w:rsidRPr="00E2028A">
        <w:rPr>
          <w:rFonts w:ascii="Arial" w:hAnsi="Arial" w:cs="Arial"/>
          <w:sz w:val="40"/>
          <w:szCs w:val="40"/>
          <w:lang w:eastAsia="ja-JP"/>
        </w:rPr>
        <w:t>3. Conclusion</w:t>
      </w:r>
    </w:p>
    <w:p w:rsidR="00E2028A" w:rsidRDefault="009C6A67" w:rsidP="004F61E8">
      <w:pPr>
        <w:spacing w:after="0"/>
        <w:jc w:val="both"/>
        <w:rPr>
          <w:lang w:eastAsia="ja-JP"/>
        </w:rPr>
      </w:pPr>
      <w:r>
        <w:rPr>
          <w:lang w:eastAsia="ja-JP"/>
        </w:rPr>
        <w:t>With the discussion above, here is our proposal,</w:t>
      </w:r>
    </w:p>
    <w:p w:rsidR="009C6A67" w:rsidRPr="001C68A1" w:rsidRDefault="009C6A67" w:rsidP="009C6A67">
      <w:pPr>
        <w:tabs>
          <w:tab w:val="left" w:pos="7210"/>
        </w:tabs>
        <w:spacing w:before="240" w:after="0"/>
        <w:jc w:val="both"/>
        <w:rPr>
          <w:b/>
          <w:i/>
          <w:lang w:eastAsia="ja-JP"/>
        </w:rPr>
      </w:pPr>
      <w:r>
        <w:rPr>
          <w:b/>
          <w:i/>
          <w:lang w:eastAsia="ja-JP"/>
        </w:rPr>
        <w:t xml:space="preserve">Proposal 1: We propose to </w:t>
      </w:r>
      <w:r w:rsidR="00D90DD5">
        <w:rPr>
          <w:b/>
          <w:i/>
          <w:lang w:eastAsia="ja-JP"/>
        </w:rPr>
        <w:t xml:space="preserve">only </w:t>
      </w:r>
      <w:r>
        <w:rPr>
          <w:b/>
          <w:i/>
          <w:lang w:eastAsia="ja-JP"/>
        </w:rPr>
        <w:t xml:space="preserve">introduce limited number of regular (multiple of 5MHz) </w:t>
      </w:r>
      <w:r w:rsidR="00472D1C">
        <w:rPr>
          <w:b/>
          <w:i/>
          <w:lang w:eastAsia="ja-JP"/>
        </w:rPr>
        <w:t xml:space="preserve">brand </w:t>
      </w:r>
      <w:r>
        <w:rPr>
          <w:b/>
          <w:i/>
          <w:lang w:eastAsia="ja-JP"/>
        </w:rPr>
        <w:t xml:space="preserve">new channel bandwidth in Rel-17. Irregular </w:t>
      </w:r>
      <w:r w:rsidR="00472D1C">
        <w:rPr>
          <w:b/>
          <w:i/>
          <w:lang w:eastAsia="ja-JP"/>
        </w:rPr>
        <w:t xml:space="preserve">(not multiple of 5MHz) </w:t>
      </w:r>
      <w:r>
        <w:rPr>
          <w:b/>
          <w:i/>
          <w:lang w:eastAsia="ja-JP"/>
        </w:rPr>
        <w:t xml:space="preserve">new channel bandwidth is only introduced in the </w:t>
      </w:r>
      <w:proofErr w:type="spellStart"/>
      <w:r>
        <w:rPr>
          <w:b/>
          <w:i/>
          <w:lang w:eastAsia="ja-JP"/>
        </w:rPr>
        <w:t>gNB</w:t>
      </w:r>
      <w:proofErr w:type="spellEnd"/>
      <w:r>
        <w:rPr>
          <w:b/>
          <w:i/>
          <w:lang w:eastAsia="ja-JP"/>
        </w:rPr>
        <w:t xml:space="preserve"> specifications and there</w:t>
      </w:r>
      <w:r w:rsidR="00D90DD5">
        <w:rPr>
          <w:b/>
          <w:i/>
          <w:lang w:eastAsia="ja-JP"/>
        </w:rPr>
        <w:t xml:space="preserve"> i</w:t>
      </w:r>
      <w:r>
        <w:rPr>
          <w:b/>
          <w:i/>
          <w:lang w:eastAsia="ja-JP"/>
        </w:rPr>
        <w:t>s no need to introduce irregular new CBW smaller than 5MHz.</w:t>
      </w:r>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0242C5" w:rsidRPr="00590893" w:rsidRDefault="007771F5" w:rsidP="00236EC5">
      <w:pPr>
        <w:pStyle w:val="ListParagraph"/>
        <w:numPr>
          <w:ilvl w:val="0"/>
          <w:numId w:val="38"/>
        </w:numPr>
        <w:overflowPunct/>
        <w:autoSpaceDE/>
        <w:autoSpaceDN/>
        <w:adjustRightInd/>
        <w:spacing w:after="0"/>
        <w:textAlignment w:val="auto"/>
        <w:rPr>
          <w:rFonts w:eastAsia="新細明體"/>
          <w:lang w:eastAsia="zh-TW"/>
        </w:rPr>
      </w:pPr>
      <w:r w:rsidRPr="007771F5">
        <w:rPr>
          <w:rFonts w:eastAsia="新細明體"/>
          <w:lang w:eastAsia="zh-TW"/>
        </w:rPr>
        <w:t>RP-19273</w:t>
      </w:r>
      <w:r w:rsidR="00236EC5">
        <w:rPr>
          <w:rFonts w:eastAsia="新細明體"/>
          <w:lang w:eastAsia="zh-TW"/>
        </w:rPr>
        <w:t>4</w:t>
      </w:r>
      <w:r>
        <w:rPr>
          <w:rFonts w:eastAsia="新細明體"/>
          <w:lang w:eastAsia="zh-TW"/>
        </w:rPr>
        <w:t xml:space="preserve"> </w:t>
      </w:r>
      <w:r w:rsidR="00236EC5" w:rsidRPr="00236EC5">
        <w:rPr>
          <w:rFonts w:eastAsia="新細明體"/>
          <w:lang w:eastAsia="zh-TW"/>
        </w:rPr>
        <w:t>Motivation for new SID: Efficient utilization of licensed spectrum that is not aligned with existing NR channel bandwidths</w:t>
      </w:r>
      <w:r w:rsidR="00721A31">
        <w:rPr>
          <w:rFonts w:eastAsia="新細明體"/>
          <w:lang w:eastAsia="zh-TW"/>
        </w:rPr>
        <w:t>, RAN-P#86</w:t>
      </w:r>
    </w:p>
    <w:p w:rsidR="00721A31" w:rsidRPr="00721A31" w:rsidRDefault="00721A31" w:rsidP="00721A31">
      <w:pPr>
        <w:pStyle w:val="ListParagraph"/>
        <w:numPr>
          <w:ilvl w:val="0"/>
          <w:numId w:val="38"/>
        </w:numPr>
        <w:rPr>
          <w:rFonts w:eastAsia="新細明體"/>
          <w:lang w:eastAsia="zh-TW"/>
        </w:rPr>
      </w:pPr>
      <w:r w:rsidRPr="00721A31">
        <w:rPr>
          <w:rFonts w:eastAsia="新細明體"/>
          <w:lang w:eastAsia="zh-TW"/>
        </w:rPr>
        <w:t>RP-192302, “New SID: Efficient utilization of licensed spectrum that is not aligned with existing NR channel bandwidths,” Etisalat, Sprint</w:t>
      </w:r>
      <w:r>
        <w:rPr>
          <w:rFonts w:eastAsia="新細明體"/>
          <w:lang w:eastAsia="zh-TW"/>
        </w:rPr>
        <w:t>, RAN-P#85</w:t>
      </w:r>
    </w:p>
    <w:p w:rsidR="00590893" w:rsidRDefault="00551613" w:rsidP="00551613">
      <w:pPr>
        <w:pStyle w:val="ListParagraph"/>
        <w:numPr>
          <w:ilvl w:val="0"/>
          <w:numId w:val="38"/>
        </w:numPr>
        <w:rPr>
          <w:rFonts w:eastAsia="新細明體"/>
          <w:lang w:eastAsia="zh-TW"/>
        </w:rPr>
      </w:pPr>
      <w:r w:rsidRPr="00551613">
        <w:rPr>
          <w:rFonts w:eastAsia="新細明體"/>
          <w:lang w:eastAsia="zh-TW"/>
        </w:rPr>
        <w:t>RP-192827</w:t>
      </w:r>
      <w:r>
        <w:rPr>
          <w:rFonts w:eastAsia="新細明體"/>
          <w:lang w:eastAsia="zh-TW"/>
        </w:rPr>
        <w:t xml:space="preserve"> </w:t>
      </w:r>
      <w:r w:rsidRPr="00551613">
        <w:rPr>
          <w:rFonts w:eastAsia="新細明體"/>
          <w:lang w:eastAsia="zh-TW"/>
        </w:rPr>
        <w:t>Motivation for new WI on introduction of brand new channel bandwidths for NR</w:t>
      </w:r>
      <w:r>
        <w:rPr>
          <w:rFonts w:eastAsia="新細明體"/>
          <w:lang w:eastAsia="zh-TW"/>
        </w:rPr>
        <w:t>, RAN-P#86</w:t>
      </w:r>
    </w:p>
    <w:p w:rsidR="00590893" w:rsidRPr="00341A6B" w:rsidRDefault="00653FEF" w:rsidP="00341A6B">
      <w:pPr>
        <w:pStyle w:val="ListParagraph"/>
        <w:numPr>
          <w:ilvl w:val="0"/>
          <w:numId w:val="38"/>
        </w:numPr>
        <w:rPr>
          <w:rFonts w:eastAsia="新細明體"/>
          <w:lang w:eastAsia="zh-TW"/>
        </w:rPr>
      </w:pPr>
      <w:r w:rsidRPr="00653FEF">
        <w:rPr>
          <w:rFonts w:eastAsia="新細明體"/>
          <w:lang w:eastAsia="zh-TW"/>
        </w:rPr>
        <w:t>RP-193104</w:t>
      </w:r>
      <w:r>
        <w:rPr>
          <w:rFonts w:eastAsia="新細明體"/>
          <w:lang w:eastAsia="zh-TW"/>
        </w:rPr>
        <w:t xml:space="preserve"> </w:t>
      </w:r>
      <w:r w:rsidRPr="00653FEF">
        <w:rPr>
          <w:rFonts w:eastAsia="新細明體"/>
          <w:lang w:eastAsia="zh-TW"/>
        </w:rPr>
        <w:t>On the introduction on new, non-aligned channel bandwidth</w:t>
      </w:r>
    </w:p>
    <w:sectPr w:rsidR="00590893" w:rsidRPr="00341A6B"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C1B" w:rsidRDefault="00734C1B">
      <w:r>
        <w:separator/>
      </w:r>
    </w:p>
  </w:endnote>
  <w:endnote w:type="continuationSeparator" w:id="0">
    <w:p w:rsidR="00734C1B" w:rsidRDefault="00734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C1B" w:rsidRDefault="00734C1B">
      <w:r>
        <w:separator/>
      </w:r>
    </w:p>
  </w:footnote>
  <w:footnote w:type="continuationSeparator" w:id="0">
    <w:p w:rsidR="00734C1B" w:rsidRDefault="00734C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6"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7"/>
  </w:num>
  <w:num w:numId="4">
    <w:abstractNumId w:val="24"/>
  </w:num>
  <w:num w:numId="5">
    <w:abstractNumId w:val="3"/>
  </w:num>
  <w:num w:numId="6">
    <w:abstractNumId w:val="23"/>
  </w:num>
  <w:num w:numId="7">
    <w:abstractNumId w:val="10"/>
  </w:num>
  <w:num w:numId="8">
    <w:abstractNumId w:val="18"/>
  </w:num>
  <w:num w:numId="9">
    <w:abstractNumId w:val="26"/>
  </w:num>
  <w:num w:numId="10">
    <w:abstractNumId w:val="9"/>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0"/>
  </w:num>
  <w:num w:numId="17">
    <w:abstractNumId w:val="15"/>
  </w:num>
  <w:num w:numId="18">
    <w:abstractNumId w:val="12"/>
  </w:num>
  <w:num w:numId="19">
    <w:abstractNumId w:val="6"/>
  </w:num>
  <w:num w:numId="20">
    <w:abstractNumId w:val="19"/>
  </w:num>
  <w:num w:numId="21">
    <w:abstractNumId w:val="14"/>
  </w:num>
  <w:num w:numId="22">
    <w:abstractNumId w:val="8"/>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4"/>
  </w:num>
  <w:num w:numId="35">
    <w:abstractNumId w:val="22"/>
  </w:num>
  <w:num w:numId="36">
    <w:abstractNumId w:val="21"/>
  </w:num>
  <w:num w:numId="37">
    <w:abstractNumId w:val="11"/>
  </w:num>
  <w:num w:numId="38">
    <w:abstractNumId w:val="16"/>
  </w:num>
  <w:num w:numId="3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D1B"/>
    <w:rsid w:val="00021E5C"/>
    <w:rsid w:val="000220CE"/>
    <w:rsid w:val="000220E2"/>
    <w:rsid w:val="000221FB"/>
    <w:rsid w:val="0002225D"/>
    <w:rsid w:val="000226AB"/>
    <w:rsid w:val="0002272D"/>
    <w:rsid w:val="00022D48"/>
    <w:rsid w:val="00022FCE"/>
    <w:rsid w:val="00023F5A"/>
    <w:rsid w:val="000242C5"/>
    <w:rsid w:val="00024653"/>
    <w:rsid w:val="0002475A"/>
    <w:rsid w:val="00024B66"/>
    <w:rsid w:val="000256A1"/>
    <w:rsid w:val="000268ED"/>
    <w:rsid w:val="00026904"/>
    <w:rsid w:val="00026A59"/>
    <w:rsid w:val="00026F5D"/>
    <w:rsid w:val="0002723D"/>
    <w:rsid w:val="0002737C"/>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2F"/>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237"/>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68A1"/>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714"/>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57ED"/>
    <w:rsid w:val="00236EC5"/>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AF6"/>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6B"/>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0732"/>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A4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2D1C"/>
    <w:rsid w:val="00473001"/>
    <w:rsid w:val="004734AD"/>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187"/>
    <w:rsid w:val="0052439D"/>
    <w:rsid w:val="005256B0"/>
    <w:rsid w:val="00525ACF"/>
    <w:rsid w:val="00525BF0"/>
    <w:rsid w:val="00525C2F"/>
    <w:rsid w:val="00526671"/>
    <w:rsid w:val="00526760"/>
    <w:rsid w:val="00526855"/>
    <w:rsid w:val="00527A2C"/>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8FF"/>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613"/>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1E"/>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3FEF"/>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A88"/>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3FDE"/>
    <w:rsid w:val="006F4502"/>
    <w:rsid w:val="006F4FDB"/>
    <w:rsid w:val="006F5230"/>
    <w:rsid w:val="006F5537"/>
    <w:rsid w:val="006F5576"/>
    <w:rsid w:val="006F58B7"/>
    <w:rsid w:val="006F5B09"/>
    <w:rsid w:val="006F61FC"/>
    <w:rsid w:val="006F6285"/>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5"/>
    <w:rsid w:val="00704900"/>
    <w:rsid w:val="00704BDA"/>
    <w:rsid w:val="00704DB3"/>
    <w:rsid w:val="00705333"/>
    <w:rsid w:val="0070533D"/>
    <w:rsid w:val="007057D7"/>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22"/>
    <w:rsid w:val="00716074"/>
    <w:rsid w:val="00716590"/>
    <w:rsid w:val="00716909"/>
    <w:rsid w:val="00716B79"/>
    <w:rsid w:val="0072033D"/>
    <w:rsid w:val="007209EF"/>
    <w:rsid w:val="00721A31"/>
    <w:rsid w:val="00722140"/>
    <w:rsid w:val="0072216B"/>
    <w:rsid w:val="00723314"/>
    <w:rsid w:val="007234C8"/>
    <w:rsid w:val="0072428F"/>
    <w:rsid w:val="007245D5"/>
    <w:rsid w:val="007246E8"/>
    <w:rsid w:val="00724826"/>
    <w:rsid w:val="00724D7B"/>
    <w:rsid w:val="007253BB"/>
    <w:rsid w:val="0072561C"/>
    <w:rsid w:val="0072693B"/>
    <w:rsid w:val="00726CE6"/>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4C1B"/>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1F5"/>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6A5"/>
    <w:rsid w:val="00796765"/>
    <w:rsid w:val="00796DD8"/>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50FA"/>
    <w:rsid w:val="00815566"/>
    <w:rsid w:val="008157FC"/>
    <w:rsid w:val="008168B5"/>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309"/>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635"/>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38B"/>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485"/>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856"/>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CA7"/>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A67"/>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345"/>
    <w:rsid w:val="009F57A3"/>
    <w:rsid w:val="009F5965"/>
    <w:rsid w:val="009F6D75"/>
    <w:rsid w:val="009F71DE"/>
    <w:rsid w:val="009F77F9"/>
    <w:rsid w:val="009F795D"/>
    <w:rsid w:val="009F7D42"/>
    <w:rsid w:val="00A00133"/>
    <w:rsid w:val="00A00B26"/>
    <w:rsid w:val="00A01457"/>
    <w:rsid w:val="00A017F2"/>
    <w:rsid w:val="00A023DA"/>
    <w:rsid w:val="00A02434"/>
    <w:rsid w:val="00A02C39"/>
    <w:rsid w:val="00A03383"/>
    <w:rsid w:val="00A03A06"/>
    <w:rsid w:val="00A03A9E"/>
    <w:rsid w:val="00A03EF3"/>
    <w:rsid w:val="00A041D3"/>
    <w:rsid w:val="00A04204"/>
    <w:rsid w:val="00A04AB4"/>
    <w:rsid w:val="00A051E3"/>
    <w:rsid w:val="00A0522B"/>
    <w:rsid w:val="00A05753"/>
    <w:rsid w:val="00A060C3"/>
    <w:rsid w:val="00A0627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E67"/>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0FD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2B43"/>
    <w:rsid w:val="00B331BC"/>
    <w:rsid w:val="00B336B8"/>
    <w:rsid w:val="00B337AF"/>
    <w:rsid w:val="00B33804"/>
    <w:rsid w:val="00B33D7B"/>
    <w:rsid w:val="00B33DBE"/>
    <w:rsid w:val="00B351BF"/>
    <w:rsid w:val="00B35B2B"/>
    <w:rsid w:val="00B36ABA"/>
    <w:rsid w:val="00B36E4E"/>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5073E"/>
    <w:rsid w:val="00B512C9"/>
    <w:rsid w:val="00B512DB"/>
    <w:rsid w:val="00B51786"/>
    <w:rsid w:val="00B51B7A"/>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0A9"/>
    <w:rsid w:val="00BD3AF3"/>
    <w:rsid w:val="00BD3B8E"/>
    <w:rsid w:val="00BD4200"/>
    <w:rsid w:val="00BD51DD"/>
    <w:rsid w:val="00BD5790"/>
    <w:rsid w:val="00BD59BE"/>
    <w:rsid w:val="00BD5ECA"/>
    <w:rsid w:val="00BD7006"/>
    <w:rsid w:val="00BD7070"/>
    <w:rsid w:val="00BD7480"/>
    <w:rsid w:val="00BD7495"/>
    <w:rsid w:val="00BD7BDF"/>
    <w:rsid w:val="00BE00FA"/>
    <w:rsid w:val="00BE03EE"/>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7643"/>
    <w:rsid w:val="00C179A3"/>
    <w:rsid w:val="00C17B7F"/>
    <w:rsid w:val="00C204A9"/>
    <w:rsid w:val="00C2070F"/>
    <w:rsid w:val="00C2080B"/>
    <w:rsid w:val="00C20901"/>
    <w:rsid w:val="00C209C0"/>
    <w:rsid w:val="00C21348"/>
    <w:rsid w:val="00C2151F"/>
    <w:rsid w:val="00C22E76"/>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149"/>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5F2"/>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9C7"/>
    <w:rsid w:val="00CB41B1"/>
    <w:rsid w:val="00CB496B"/>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8BA"/>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6D6"/>
    <w:rsid w:val="00D86C34"/>
    <w:rsid w:val="00D90DD5"/>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0F8"/>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312A"/>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0E54"/>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02C"/>
    <w:rsid w:val="00FA632A"/>
    <w:rsid w:val="00FA7395"/>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Heading8Char">
    <w:name w:val="Heading 8 Char"/>
    <w:link w:val="Heading8"/>
    <w:rsid w:val="00356F90"/>
    <w:rPr>
      <w:rFonts w:ascii="Arial" w:eastAsia="Arial" w:hAnsi="Arial"/>
      <w:sz w:val="36"/>
      <w:lang w:val="en-GB" w:eastAsia="en-US"/>
    </w:rPr>
  </w:style>
  <w:style w:type="paragraph" w:customStyle="1" w:styleId="TableCaption">
    <w:name w:val="Table Caption"/>
    <w:basedOn w:val="Caption"/>
    <w:rsid w:val="00EE5025"/>
    <w:pPr>
      <w:overflowPunct/>
      <w:autoSpaceDE/>
      <w:autoSpaceDN/>
      <w:adjustRightInd/>
      <w:jc w:val="center"/>
      <w:textAlignment w:val="auto"/>
    </w:pPr>
    <w:rPr>
      <w:bCs/>
      <w:sz w:val="22"/>
    </w:rPr>
  </w:style>
  <w:style w:type="paragraph" w:styleId="ListParagraph">
    <w:name w:val="List Paragraph"/>
    <w:basedOn w:val="Normal"/>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D2E0A-4FE3-4977-8A0D-DD2E8825F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1163</TotalTime>
  <Pages>1</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MediaTek Inc.</cp:lastModifiedBy>
  <cp:revision>18</cp:revision>
  <cp:lastPrinted>2010-01-07T02:23:00Z</cp:lastPrinted>
  <dcterms:created xsi:type="dcterms:W3CDTF">2020-01-14T02:27:00Z</dcterms:created>
  <dcterms:modified xsi:type="dcterms:W3CDTF">2020-06-19T13:23:00Z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